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center"/>
        <w:rPr/>
      </w:pPr>
      <w:r>
        <w:rPr/>
        <w:object>
          <v:shape id="ole_rId2" style="position:absolute;margin-left:216.45pt;margin-top:2.65pt;width:77.1pt;height:45.4pt;mso-position-horizontal-relative:text;mso-position-vertical-relative:text" o:ole="">
            <v:imagedata r:id="rId3" o:title=""/>
          </v:shape>
          <o:OLEObject Type="Embed" ProgID="" ShapeID="ole_rId2" DrawAspect="Content" ObjectID="_1745537671" r:id="rId2"/>
        </w:objec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bidi w:val="0"/>
        <w:jc w:val="center"/>
        <w:rPr>
          <w:sz w:val="16"/>
        </w:rPr>
      </w:pPr>
      <w:r>
        <w:rPr>
          <w:sz w:val="16"/>
        </w:rPr>
      </w:r>
    </w:p>
    <w:p>
      <w:pPr>
        <w:pStyle w:val="1"/>
        <w:bidi w:val="0"/>
        <w:spacing w:lineRule="auto" w:line="360"/>
        <w:rPr>
          <w:b/>
          <w:b/>
          <w:sz w:val="40"/>
          <w:lang w:val="ru-RU"/>
        </w:rPr>
      </w:pPr>
      <w:r>
        <w:rPr>
          <w:b/>
          <w:sz w:val="26"/>
          <w:szCs w:val="26"/>
          <w:lang w:val="ru-RU"/>
        </w:rPr>
        <w:t>АДМИНИСТРАЦИЯ</w:t>
      </w:r>
    </w:p>
    <w:p>
      <w:pPr>
        <w:pStyle w:val="Normal"/>
        <w:bidi w:val="0"/>
        <w:spacing w:lineRule="auto" w:line="360"/>
        <w:jc w:val="center"/>
        <w:rPr>
          <w:b/>
          <w:b/>
          <w:sz w:val="24"/>
        </w:rPr>
      </w:pPr>
      <w:r>
        <w:rPr>
          <w:b/>
          <w:sz w:val="24"/>
        </w:rPr>
        <w:t xml:space="preserve">ЛАЗОВСКОГО </w:t>
      </w:r>
      <w:r>
        <w:rPr>
          <w:b/>
          <w:sz w:val="26"/>
          <w:szCs w:val="26"/>
        </w:rPr>
        <w:t>МУНИЦИПАЛЬНОГО</w:t>
      </w:r>
      <w:r>
        <w:rPr>
          <w:b/>
          <w:sz w:val="24"/>
        </w:rPr>
        <w:t xml:space="preserve"> ОКРУГА ПРИМОРСКОГО КРАЯ</w:t>
      </w:r>
    </w:p>
    <w:p>
      <w:pPr>
        <w:pStyle w:val="Normal"/>
        <w:bidi w:val="0"/>
        <w:jc w:val="center"/>
        <w:rPr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16E52925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6645" cy="1270"/>
                <wp:effectExtent l="0" t="0" r="19050" b="19050"/>
                <wp:wrapNone/>
                <wp:docPr id="1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616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4pt,9.25pt" ID="Прямая соединительная линия 1" stroked="t" style="position:absolute" wp14:anchorId="16E52925">
                <v:stroke color="black" weight="190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>
      <w:pPr>
        <w:pStyle w:val="2"/>
        <w:bidi w:val="0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center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11.04.2023</w:t>
      </w:r>
      <w:r>
        <w:rPr>
          <w:sz w:val="26"/>
          <w:szCs w:val="26"/>
        </w:rPr>
        <w:t xml:space="preserve">г.                                             </w:t>
      </w:r>
      <w:bookmarkStart w:id="0" w:name="_GoBack"/>
      <w:bookmarkEnd w:id="0"/>
      <w:r>
        <w:rPr>
          <w:sz w:val="26"/>
          <w:szCs w:val="26"/>
        </w:rPr>
        <w:t xml:space="preserve"> с. Лазо                                                         №</w:t>
      </w:r>
      <w:r>
        <w:rPr>
          <w:rFonts w:eastAsia="NSimSun" w:cs="Lucida Sans"/>
          <w:color w:val="auto"/>
          <w:kern w:val="2"/>
          <w:sz w:val="26"/>
          <w:szCs w:val="26"/>
          <w:lang w:val="ru-RU" w:eastAsia="zh-CN" w:bidi="hi-IN"/>
        </w:rPr>
        <w:t>288-а</w: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widowControl w:val="false"/>
        <w:bidi w:val="0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auto"/>
          <w:kern w:val="0"/>
          <w:sz w:val="26"/>
          <w:szCs w:val="26"/>
          <w:lang w:val="ru-RU" w:eastAsia="ru-RU" w:bidi="ar-SA"/>
        </w:rPr>
        <w:t>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202</w:t>
      </w:r>
      <w:r>
        <w:rPr>
          <w:rFonts w:eastAsia="Times New Roman" w:cs="Times New Roman" w:ascii="Times New Roman" w:hAnsi="Times New Roman"/>
          <w:b/>
          <w:color w:val="auto"/>
          <w:kern w:val="0"/>
          <w:sz w:val="26"/>
          <w:szCs w:val="26"/>
          <w:lang w:val="ru-RU" w:eastAsia="ru-RU" w:bidi="ar-SA"/>
        </w:rPr>
        <w:t>3</w:t>
      </w:r>
      <w:r>
        <w:rPr>
          <w:rFonts w:eastAsia="Times New Roman" w:cs="Times New Roman" w:ascii="Times New Roman" w:hAnsi="Times New Roman"/>
          <w:b/>
          <w:color w:val="auto"/>
          <w:kern w:val="0"/>
          <w:sz w:val="26"/>
          <w:szCs w:val="26"/>
          <w:lang w:val="ru-RU" w:eastAsia="ru-RU" w:bidi="ar-SA"/>
        </w:rPr>
        <w:t xml:space="preserve">год </w: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spacing w:lineRule="auto" w:line="276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руководствуясь Уставом Лазовского муниципального округа, администрация Лазовского муниципального округа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ПОСТАНОВЛЯЕТ:</w:t>
      </w:r>
    </w:p>
    <w:p>
      <w:pPr>
        <w:pStyle w:val="Normal"/>
        <w:widowControl/>
        <w:bidi w:val="0"/>
        <w:spacing w:lineRule="auto" w:line="276" w:before="0"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 </w:t>
      </w:r>
    </w:p>
    <w:p>
      <w:pPr>
        <w:pStyle w:val="Normal"/>
        <w:widowControl/>
        <w:bidi w:val="0"/>
        <w:spacing w:lineRule="auto" w:line="276" w:before="0" w:after="0"/>
        <w:ind w:firstLine="539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202</w:t>
      </w:r>
      <w:r>
        <w:rPr>
          <w:rFonts w:eastAsia="NSimSun" w:cs="Times New Roman" w:ascii="Times New Roman" w:hAnsi="Times New Roman"/>
          <w:b w:val="false"/>
          <w:bCs w:val="false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 год.</w:t>
      </w:r>
    </w:p>
    <w:p>
      <w:pPr>
        <w:pStyle w:val="NormalWeb"/>
        <w:bidi w:val="0"/>
        <w:spacing w:lineRule="auto" w:line="276" w:beforeAutospacing="0" w:before="0" w:afterAutospacing="0"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2. Начальнику управления делами администрации Лазовского муниципального округа обеспечить размещение настоящего постановления на официальном сайте администрации Лазовского муниципального округа.</w:t>
      </w:r>
    </w:p>
    <w:p>
      <w:pPr>
        <w:pStyle w:val="Style17"/>
        <w:bidi w:val="0"/>
        <w:spacing w:lineRule="auto" w:line="276" w:beforeAutospacing="0" w:before="0" w:afterAutospacing="0" w:after="0"/>
        <w:ind w:firstLine="708"/>
        <w:jc w:val="both"/>
        <w:rPr>
          <w:rFonts w:ascii="Times New Roman" w:hAnsi="Times New Roman"/>
        </w:rPr>
      </w:pPr>
      <w:r>
        <w:rPr>
          <w:rFonts w:eastAsia="NSimSun" w:cs="Lucida Sans" w:ascii="Times New Roman" w:hAnsi="Times New Roman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ascii="Times New Roman" w:hAnsi="Times New Roman"/>
          <w:sz w:val="26"/>
          <w:szCs w:val="26"/>
        </w:rPr>
        <w:t>. Настоящее постановление вступает в силу со дня опубликования и применяется с 01.01.2023 г.</w:t>
      </w:r>
    </w:p>
    <w:p>
      <w:pPr>
        <w:pStyle w:val="NormalWeb"/>
        <w:bidi w:val="0"/>
        <w:spacing w:lineRule="auto" w:line="276"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Г</w:t>
      </w:r>
      <w:r>
        <w:rPr>
          <w:sz w:val="26"/>
          <w:szCs w:val="26"/>
        </w:rPr>
        <w:t>лав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а</w:t>
      </w:r>
      <w:r>
        <w:rPr>
          <w:sz w:val="26"/>
          <w:szCs w:val="26"/>
        </w:rPr>
        <w:t xml:space="preserve"> Лазовского </w:t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  <w:tab/>
        <w:tab/>
        <w:t xml:space="preserve">                                                           Ю. А. Мосальский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tbl>
      <w:tblPr>
        <w:tblStyle w:val="a4"/>
        <w:tblW w:w="4111" w:type="dxa"/>
        <w:jc w:val="left"/>
        <w:tblInd w:w="524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11"/>
      </w:tblGrid>
      <w:tr>
        <w:trPr/>
        <w:tc>
          <w:tcPr>
            <w:tcW w:w="4111" w:type="dxa"/>
            <w:tcBorders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УТВЕРЖДЕНА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постановлением администрации Лазовского муниципального</w:t>
            </w:r>
            <w:bookmarkStart w:id="1" w:name="_GoBack1"/>
            <w:bookmarkEnd w:id="1"/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округа от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.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04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.202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288-а</w:t>
            </w:r>
          </w:p>
        </w:tc>
      </w:tr>
    </w:tbl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ПРОГРАММА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ПРОФИЛАКТИКИ РИСКОВ ПРИЧИНЕНИЯ ВРЕДА (УЩЕРБА)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ОХРАНЯЕМЫМ ЗАКОНОМ ЦЕННОСТЯМ ПРИ ОСУЩЕСТВЛЕНИИ МУНИЦИПАЛЬНОГО КОНТРОЛЯ В СФЕРЕ БЛАГОУСТРОЙСТВА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НА 202</w:t>
      </w:r>
      <w:r>
        <w:rPr>
          <w:rFonts w:eastAsia="Times New Roman" w:cs="Times New Roman" w:ascii="Times New Roman" w:hAnsi="Times New Roman"/>
          <w:b/>
          <w:color w:val="auto"/>
          <w:kern w:val="2"/>
          <w:sz w:val="28"/>
          <w:szCs w:val="28"/>
          <w:lang w:val="ru-RU" w:eastAsia="ru-RU" w:bidi="hi-IN"/>
        </w:rPr>
        <w:t>3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ГОД </w:t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202</w:t>
      </w:r>
      <w:r>
        <w:rPr>
          <w:rFonts w:eastAsia="NSimSun" w:cs="Times New Roman" w:ascii="Times New Roman" w:hAnsi="Times New Roman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cs="Times New Roman" w:ascii="Times New Roman" w:hAnsi="Times New Roman"/>
          <w:sz w:val="26"/>
          <w:szCs w:val="26"/>
        </w:rPr>
        <w:t xml:space="preserve"> год</w:t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tbl>
      <w:tblPr>
        <w:tblW w:w="96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085"/>
        <w:gridCol w:w="6567"/>
      </w:tblGrid>
      <w:tr>
        <w:trPr>
          <w:trHeight w:val="982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202</w:t>
            </w:r>
            <w:r>
              <w:rPr>
                <w:rFonts w:eastAsia="NSimSun" w:cs="Times New Roman" w:ascii="Times New Roman" w:hAnsi="Times New Roman"/>
                <w:color w:val="auto"/>
                <w:kern w:val="2"/>
                <w:sz w:val="26"/>
                <w:szCs w:val="26"/>
                <w:lang w:val="ru-RU" w:eastAsia="zh-CN" w:bidi="hi-IN"/>
              </w:rPr>
              <w:t>3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год</w:t>
            </w:r>
          </w:p>
        </w:tc>
      </w:tr>
      <w:tr>
        <w:trPr>
          <w:trHeight w:val="982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Правовые основания разработки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Федеральный закон от 06.10.2003 №131-ФЗ «Об общих принципах организации местного самоуправления в Российской Федерации;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Федеральный закон </w:t>
            </w:r>
            <w:r>
              <w:rPr>
                <w:rFonts w:eastAsia="Times New Roman" w:ascii="Times New Roman" w:hAnsi="Times New Roman"/>
                <w:sz w:val="26"/>
                <w:szCs w:val="26"/>
                <w:lang w:eastAsia="ru-RU"/>
              </w:rPr>
              <w:t>от 31.07.2020 № 248-ФЗ «О государственном контроле (надзоре) и муниципальном контроле в Российской Федерации»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;</w:t>
            </w:r>
          </w:p>
          <w:p>
            <w:pPr>
              <w:pStyle w:val="Normal"/>
              <w:widowControl w:val="false"/>
              <w:bidi w:val="0"/>
              <w:spacing w:lineRule="auto" w:line="24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Постановление Правительства РФ от 25.06.2021 №990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>
        <w:trPr>
          <w:trHeight w:val="659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Отдел жилищно-коммунального хозяйства администрации Лазовского муниципального округа.</w:t>
            </w:r>
          </w:p>
        </w:tc>
      </w:tr>
      <w:tr>
        <w:trPr>
          <w:trHeight w:val="274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Цели П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предотвращение рисков причинения вреда охраняемым законом ценностям;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предупреждение нарушений обязательных требований (снижение числа нарушений обязательных требований) в подконтрольной сфере общественных отношений;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создание у подконтрольных субъектов мотивации к добросовестному поведению, повышение правосознания и правовой культуры подконтрольных субъектов;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снижение издержек, повышение эффективности исполнения функций органа муниципального контроля;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повышение эффективности взаимодействия между подконтрольными субъектами и органом муниципального контроля.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Задачи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планирование и проведение профилактических мероприятий на основе принципов информационной открытости, а также обязательности, актуальности, периодичности профилактических мероприятий и достижения максимальной вовлеченности подконтрольных субъектов;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выявление причин, факторов и условий, влекущих нарушения требований, в ходе проведения проверок, осмотров, обследований;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информирование подконтрольных субъектов о содержании требований в ходе проведения проверок, осмотров, обследований, а также посредством их размещения на официальном сайте администрации.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202</w:t>
            </w:r>
            <w:r>
              <w:rPr>
                <w:rFonts w:eastAsia="NSimSun" w:cs="Times New Roman" w:ascii="Times New Roman" w:hAnsi="Times New Roman"/>
                <w:bCs/>
                <w:color w:val="auto"/>
                <w:kern w:val="2"/>
                <w:sz w:val="26"/>
                <w:szCs w:val="26"/>
                <w:lang w:val="en-US" w:eastAsia="zh-CN" w:bidi="hi-IN"/>
              </w:rPr>
              <w:t>3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 xml:space="preserve"> год</w:t>
            </w:r>
          </w:p>
        </w:tc>
      </w:tr>
      <w:tr>
        <w:trPr>
          <w:trHeight w:val="803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rPr>
                <w:bCs/>
              </w:rPr>
            </w:pPr>
            <w:r>
              <w:rPr>
                <w:bCs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</w:t>
            </w:r>
            <w:r>
              <w:rPr>
                <w:bCs/>
                <w:sz w:val="26"/>
                <w:szCs w:val="26"/>
              </w:rPr>
              <w:t>Финансирование не предусмотрено</w:t>
            </w:r>
          </w:p>
        </w:tc>
      </w:tr>
      <w:tr>
        <w:trPr>
          <w:trHeight w:val="346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rPr>
                <w:bCs/>
              </w:rPr>
            </w:pPr>
            <w:r>
              <w:rPr>
                <w:sz w:val="26"/>
                <w:szCs w:val="26"/>
              </w:rPr>
              <w:t xml:space="preserve">Ожидаемые конечные результаты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снижение рисков причинения вреда охраняемым законом ценностям;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увеличение доли законопослушных подконтрольных субъектов»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внедрение различных способов профилактики;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разработка образцов эффективного, законопослушного поведения подконтрольных субъектов;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обеспечение квалифицированной профилактической работы должностных лиц контрольно-надзорного органа;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повышение прозрачности деятельности контрольно-надзорного органа.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  <w:t>1. Анализ текущего состояния осуществления   контроля в сфере благоустройства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1.1. Настоящая 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202</w:t>
      </w:r>
      <w:r>
        <w:rPr>
          <w:rFonts w:eastAsia="Times New Roman" w:cs="Times New Roman" w:ascii="Times New Roman" w:hAnsi="Times New Roman"/>
          <w:color w:val="auto"/>
          <w:kern w:val="2"/>
          <w:sz w:val="26"/>
          <w:szCs w:val="26"/>
          <w:lang w:val="ru-RU" w:eastAsia="ru-RU" w:bidi="hi-IN"/>
        </w:rPr>
        <w:t>3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год (далее – Программа)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 и принимаемыми в соответствии с ними законами и иными нормативными правовыми актами Приморского края, в целях предупреждения возможного нарушения подконтрольными субъектами обязательных требований и снижения рисков причинения ущерба муниципальному имуществу, устранению причин, факторов и условий, способствующих нарушениям обязательных требований. </w:t>
      </w:r>
    </w:p>
    <w:p>
      <w:pPr>
        <w:pStyle w:val="Normal"/>
        <w:bidi w:val="0"/>
        <w:spacing w:before="0" w:after="16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1.2. Под муниципальным контролем в сфере благоустройства понимается деятельность органов местного самоуправления, уполномоченных на организацию и проведение на территории Лазовского муниципального округа проверок соблюдения юридическими лицами, индивидуальными предпринимателями и физическими лицами обязательных требований, установленных федеральными законами, законами Приморского края, а также</w:t>
      </w:r>
      <w:r>
        <w:rPr>
          <w:rFonts w:eastAsia="Times New Roman" w:cs="Times New Roman" w:ascii="PT Astra Serif" w:hAnsi="PT Astra Serif"/>
          <w:sz w:val="26"/>
          <w:szCs w:val="26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</w:rPr>
        <w:t>Правилами благоустройства Лазовского муниципального округа</w:t>
      </w:r>
      <w:r>
        <w:rPr>
          <w:rFonts w:eastAsia="Times New Roman" w:cs="Times New Roman" w:ascii="PT Astra Serif" w:hAnsi="PT Astra Serif"/>
          <w:sz w:val="26"/>
          <w:szCs w:val="26"/>
        </w:rPr>
        <w:t>.</w:t>
      </w:r>
    </w:p>
    <w:p>
      <w:pPr>
        <w:pStyle w:val="Normal"/>
        <w:bidi w:val="0"/>
        <w:spacing w:before="0" w:after="16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1.3. </w:t>
      </w:r>
      <w:r>
        <w:rPr>
          <w:rFonts w:eastAsia="Times New Roman" w:cs="Times New Roman" w:ascii="Times New Roman" w:hAnsi="Times New Roman"/>
          <w:sz w:val="26"/>
          <w:szCs w:val="26"/>
        </w:rPr>
        <w:t xml:space="preserve">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</w:t>
      </w:r>
    </w:p>
    <w:p>
      <w:pPr>
        <w:pStyle w:val="Normal"/>
        <w:widowControl w:val="false"/>
        <w:bidi w:val="0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- юридические лица, индивидуальные предприниматели и граждане, обеспечивающие благоустройство объектов, </w:t>
      </w:r>
      <w:r>
        <w:rPr>
          <w:rFonts w:eastAsia="Times New Roman" w:cs="PT Astra Serif" w:ascii="PT Astra Serif" w:hAnsi="PT Astra Serif"/>
          <w:sz w:val="26"/>
          <w:szCs w:val="26"/>
        </w:rPr>
        <w:t xml:space="preserve">к которым предъявляются обязательные требования, </w:t>
      </w:r>
      <w:r>
        <w:rPr>
          <w:rFonts w:eastAsia="Times New Roman" w:cs="Times New Roman" w:ascii="PT Astra Serif" w:hAnsi="PT Astra Serif"/>
          <w:sz w:val="26"/>
          <w:szCs w:val="26"/>
        </w:rPr>
        <w:t>установленные Правилами благоустройства Лазовского муниципального округа.</w:t>
      </w:r>
    </w:p>
    <w:p>
      <w:pPr>
        <w:pStyle w:val="Normal"/>
        <w:shd w:val="clear" w:color="auto" w:fill="FFFFFF"/>
        <w:bidi w:val="0"/>
        <w:spacing w:lineRule="auto" w:line="240" w:before="0" w:after="0"/>
        <w:ind w:firstLine="709"/>
        <w:jc w:val="both"/>
        <w:rPr>
          <w:rFonts w:ascii="PT Astra Serif" w:hAnsi="PT Astra Serif" w:eastAsia="Times New Roman" w:cs="Arial"/>
          <w:sz w:val="24"/>
          <w:szCs w:val="24"/>
          <w:lang w:eastAsia="ru-RU"/>
        </w:rPr>
      </w:pPr>
      <w:r>
        <w:rPr>
          <w:rFonts w:eastAsia="Times New Roman" w:cs="Arial" w:ascii="PT Astra Serif" w:hAnsi="PT Astra Serif"/>
          <w:sz w:val="26"/>
          <w:szCs w:val="26"/>
          <w:lang w:eastAsia="ru-RU"/>
        </w:rPr>
        <w:t>За текущий период 202</w:t>
      </w:r>
      <w:r>
        <w:rPr>
          <w:rFonts w:eastAsia="Times New Roman" w:cs="Arial" w:ascii="PT Astra Serif" w:hAnsi="PT Astra Serif"/>
          <w:color w:val="auto"/>
          <w:kern w:val="2"/>
          <w:sz w:val="26"/>
          <w:szCs w:val="26"/>
          <w:lang w:val="ru-RU" w:eastAsia="ru-RU" w:bidi="hi-IN"/>
        </w:rPr>
        <w:t>2</w:t>
      </w:r>
      <w:r>
        <w:rPr>
          <w:rFonts w:eastAsia="Times New Roman" w:cs="Arial" w:ascii="PT Astra Serif" w:hAnsi="PT Astra Serif"/>
          <w:sz w:val="26"/>
          <w:szCs w:val="26"/>
          <w:lang w:eastAsia="ru-RU"/>
        </w:rPr>
        <w:t xml:space="preserve"> года</w:t>
      </w:r>
      <w:r>
        <w:rPr>
          <w:rFonts w:eastAsia="Times New Roman" w:cs="Times New Roman" w:ascii="PT Astra Serif" w:hAnsi="PT Astra Serif"/>
          <w:sz w:val="26"/>
          <w:szCs w:val="26"/>
          <w:lang w:eastAsia="ru-RU"/>
        </w:rPr>
        <w:t xml:space="preserve"> в рамках </w:t>
      </w:r>
      <w:r>
        <w:rPr>
          <w:rFonts w:eastAsia="Times New Roman" w:cs="Arial" w:ascii="PT Astra Serif" w:hAnsi="PT Astra Serif"/>
          <w:sz w:val="26"/>
          <w:szCs w:val="26"/>
          <w:lang w:eastAsia="ru-RU"/>
        </w:rPr>
        <w:t>муниципального контроля за соблюдением Правил благоустройства на территории Лазовского муниципального округа.  Плановые и внеплановые проверки, мероприятия по контролю без взаимодействия с субъектами контроля на территории Лазовского муниципального округа не производились.</w:t>
      </w:r>
    </w:p>
    <w:p>
      <w:pPr>
        <w:pStyle w:val="Normal"/>
        <w:shd w:val="clear" w:color="auto" w:fill="FFFFFF"/>
        <w:bidi w:val="0"/>
        <w:spacing w:lineRule="auto" w:line="240" w:before="0" w:after="0"/>
        <w:ind w:firstLine="709"/>
        <w:jc w:val="both"/>
        <w:rPr>
          <w:rFonts w:ascii="PT Astra Serif" w:hAnsi="PT Astra Serif" w:eastAsia="Times New Roman" w:cs="Arial"/>
          <w:sz w:val="24"/>
          <w:szCs w:val="24"/>
          <w:lang w:eastAsia="ru-RU"/>
        </w:rPr>
      </w:pPr>
      <w:r>
        <w:rPr>
          <w:rFonts w:eastAsia="Times New Roman" w:cs="Arial" w:ascii="PT Astra Serif" w:hAnsi="PT Astra Serif"/>
          <w:sz w:val="26"/>
          <w:szCs w:val="26"/>
          <w:lang w:eastAsia="ru-RU"/>
        </w:rPr>
        <w:t>Эксперты и представители экспертных организаций к проведению проверок не привлекались.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PT Astra Serif" w:hAnsi="PT Astra Serif" w:eastAsia="Times New Roman" w:cs="Arial"/>
          <w:sz w:val="24"/>
          <w:szCs w:val="24"/>
          <w:lang w:eastAsia="ru-RU"/>
        </w:rPr>
      </w:pPr>
      <w:r>
        <w:rPr>
          <w:rFonts w:eastAsia="Times New Roman" w:cs="Arial" w:ascii="PT Astra Serif" w:hAnsi="PT Astra Serif"/>
          <w:sz w:val="26"/>
          <w:szCs w:val="26"/>
          <w:lang w:eastAsia="ru-RU"/>
        </w:rPr>
        <w:t>Предостережения о недопустимости нарушений обязательных требований при осуществлении муниципального контроля подконтрольным субъектам не выдавались.</w:t>
      </w:r>
    </w:p>
    <w:p>
      <w:pPr>
        <w:pStyle w:val="Normal"/>
        <w:shd w:val="clear" w:color="auto" w:fill="FFFFFF"/>
        <w:bidi w:val="0"/>
        <w:spacing w:lineRule="auto" w:line="240" w:before="0" w:after="0"/>
        <w:ind w:firstLine="709"/>
        <w:jc w:val="both"/>
        <w:rPr>
          <w:rFonts w:ascii="PT Astra Serif" w:hAnsi="PT Astra Serif" w:eastAsia="Times New Roman" w:cs="Arial"/>
          <w:sz w:val="24"/>
          <w:szCs w:val="24"/>
          <w:lang w:eastAsia="ru-RU"/>
        </w:rPr>
      </w:pPr>
      <w:r>
        <w:rPr>
          <w:rFonts w:eastAsia="Times New Roman" w:cs="Arial" w:ascii="PT Astra Serif" w:hAnsi="PT Astra Serif"/>
          <w:sz w:val="26"/>
          <w:szCs w:val="26"/>
          <w:lang w:eastAsia="ru-RU"/>
        </w:rPr>
        <w:t>Случаи причинения субъектами контроля вреда охраняемым законом ценностям, а также случаи возникновения чрезвычайных ситуаций природного и техногенного характера не установлены.</w:t>
      </w:r>
    </w:p>
    <w:p>
      <w:pPr>
        <w:pStyle w:val="Normal"/>
        <w:shd w:val="clear" w:color="auto" w:fill="FFFFFF"/>
        <w:bidi w:val="0"/>
        <w:spacing w:lineRule="auto" w:line="240" w:before="0" w:after="0"/>
        <w:ind w:firstLine="709"/>
        <w:jc w:val="both"/>
        <w:rPr>
          <w:rFonts w:ascii="PT Astra Serif" w:hAnsi="PT Astra Serif" w:eastAsia="Times New Roman" w:cs="Arial"/>
          <w:sz w:val="24"/>
          <w:szCs w:val="24"/>
          <w:lang w:eastAsia="ru-RU"/>
        </w:rPr>
      </w:pPr>
      <w:r>
        <w:rPr>
          <w:rFonts w:eastAsia="Times New Roman" w:cs="Arial" w:ascii="PT Astra Serif" w:hAnsi="PT Astra Serif"/>
          <w:sz w:val="24"/>
          <w:szCs w:val="24"/>
          <w:lang w:eastAsia="ru-RU"/>
        </w:rPr>
      </w:r>
    </w:p>
    <w:p>
      <w:pPr>
        <w:pStyle w:val="Normal"/>
        <w:widowControl w:val="false"/>
        <w:bidi w:val="0"/>
        <w:spacing w:lineRule="auto" w:line="240" w:before="0" w:after="0"/>
        <w:ind w:firstLine="540"/>
        <w:contextualSpacing/>
        <w:jc w:val="center"/>
        <w:rPr>
          <w:rFonts w:ascii="PT Astra Serif" w:hAnsi="PT Astra Serif" w:eastAsia="Times New Roman" w:cs="Calibri"/>
          <w:b/>
          <w:b/>
          <w:sz w:val="24"/>
          <w:szCs w:val="24"/>
          <w:lang w:eastAsia="ru-RU"/>
        </w:rPr>
      </w:pPr>
      <w:r>
        <w:rPr>
          <w:rFonts w:eastAsia="Times New Roman" w:cs="Calibri" w:ascii="PT Astra Serif" w:hAnsi="PT Astra Serif"/>
          <w:b/>
          <w:sz w:val="26"/>
          <w:szCs w:val="26"/>
          <w:lang w:eastAsia="ru-RU"/>
        </w:rPr>
        <w:t>2. Характеристика проблем, на решение которых направлена</w:t>
      </w:r>
    </w:p>
    <w:p>
      <w:pPr>
        <w:pStyle w:val="Normal"/>
        <w:widowControl w:val="false"/>
        <w:bidi w:val="0"/>
        <w:spacing w:lineRule="auto" w:line="240" w:before="0" w:after="0"/>
        <w:ind w:firstLine="540"/>
        <w:contextualSpacing/>
        <w:jc w:val="center"/>
        <w:rPr>
          <w:rFonts w:ascii="PT Astra Serif" w:hAnsi="PT Astra Serif" w:eastAsia="Times New Roman" w:cs="Calibri"/>
          <w:b/>
          <w:b/>
          <w:sz w:val="24"/>
          <w:szCs w:val="24"/>
          <w:lang w:eastAsia="ru-RU"/>
        </w:rPr>
      </w:pPr>
      <w:r>
        <w:rPr>
          <w:rFonts w:eastAsia="Times New Roman" w:cs="Calibri" w:ascii="PT Astra Serif" w:hAnsi="PT Astra Serif"/>
          <w:b/>
          <w:sz w:val="26"/>
          <w:szCs w:val="26"/>
          <w:lang w:eastAsia="ru-RU"/>
        </w:rPr>
        <w:t>программа профилактики</w:t>
      </w:r>
    </w:p>
    <w:p>
      <w:pPr>
        <w:pStyle w:val="Normal"/>
        <w:widowControl w:val="false"/>
        <w:bidi w:val="0"/>
        <w:spacing w:lineRule="auto" w:line="240" w:before="0" w:after="0"/>
        <w:contextualSpacing/>
        <w:jc w:val="center"/>
        <w:rPr>
          <w:rFonts w:ascii="PT Astra Serif" w:hAnsi="PT Astra Serif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PT Astra Serif" w:hAnsi="PT Astra Serif"/>
          <w:b/>
          <w:sz w:val="24"/>
          <w:szCs w:val="24"/>
        </w:rPr>
      </w:r>
    </w:p>
    <w:p>
      <w:pPr>
        <w:pStyle w:val="Normal"/>
        <w:shd w:val="clear" w:color="auto" w:fill="FFFFFF"/>
        <w:bidi w:val="0"/>
        <w:spacing w:lineRule="auto" w:line="240" w:beforeAutospacing="1" w:afterAutospacing="1"/>
        <w:contextualSpacing/>
        <w:jc w:val="both"/>
        <w:rPr>
          <w:rFonts w:ascii="PT Astra Serif" w:hAnsi="PT Astra Serif" w:eastAsia="Times New Roman" w:cs="Times New Roman"/>
          <w:sz w:val="24"/>
          <w:szCs w:val="24"/>
        </w:rPr>
      </w:pPr>
      <w:r>
        <w:rPr>
          <w:rFonts w:eastAsia="Times New Roman" w:cs="Times New Roman" w:ascii="PT Astra Serif" w:hAnsi="PT Astra Serif"/>
          <w:sz w:val="26"/>
          <w:szCs w:val="26"/>
        </w:rPr>
        <w:tab/>
        <w:t>2.1. К основным проблемам в сфере благоустройства, на решение которых направлена Программа профилактики, относится: приведение объектов благоустройства в соответствии с технико-эксплуатационным и характеристиками улучшение архитектурно-планировочного облика Лазовского муниципального округа, улучшение экологической обстановки и санитарно-гигиенических условий жизни в округе, создание безопасных и комфортных условий для проживания населения.</w:t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3. Цели и задачи реализации Программы</w:t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3.1. Целями Программы являются: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а) предотвращение рисков причинения вреда охраняемым законом ценностям;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б) предупреждение нарушений обязательных требований (снижение числа нарушений обязательных требований) в подконтрольной сфере общественных отношений;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в) создание у подконтрольных субъектов мотивации к добросовестному поведению, повышение правосознания и правовой культуры подконтрольных субъектов;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г) снижение издержек, повышение эффективности исполнения функций органа муниципального контроля;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д) повышение эффективности взаимодействия между подконтрольными субъектами и органом муниципального контроля.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3.2. Для достижения цели Программы необходимо решить следующие задачи: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а) планирование и проведение профилактических мероприятий на основе принципов информационной открытости, а также обязательности, актуальности, периодичности профилактических мероприятий и достижения максимальной вовлеченности подконтрольных субъектов;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б) выявление причин, факторов и условий, влекущих нарушения требований, в ходе проведения проверок, осмотров, обследований;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в) информирование подконтрольных субъектов о содержании требований в ходе проведения проверок, осмотров, обследований, а также посредством их размещения на официальном сайте администрации Лазовского муниципального округа.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4. Перечень профилактических мероприятий, сроки (периодичность) их проведения</w:t>
      </w:r>
    </w:p>
    <w:p>
      <w:pPr>
        <w:pStyle w:val="Normal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4.1. Профилактические мероприятия осуществляются уполномоченным органом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При осуществлении муниципального контроля в сфере благоустройства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мероприятий.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4.2. При осуществлении уполномоченным органом контроля в сфере благоустройства могут проводиться следующие виды профилактических мероприятий: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информирование;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объявление предостережений;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консультирование;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профилактический визит;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4.2.1. Информирование осуществляется уполномоченным органом по вопросам соблюдения обязательных требований посредством размещения соответствующих сведений на официальном сайте уполномоченного органа в информационно-телекоммуникационной сети "Интернет" (далее - сеть "Интернет") и средствах массовой информации. Срок проведения - постоянно, по мере внесения изменений в нормативные правовые акты.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4.2.2. Предостережение о недопустимости нарушения обязательных требований (далее - предостережение) объявляется контролируемому лицу в случае наличия у уполномоченного органа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 Срок проведения - по мере поступления сведений о готовящихся нарушениях обязательных требований.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4.2.3. Консультирование (разъяснения по вопросам, связанным с организацией и осуществлением муниципального контроля в сфере благоустройства) осуществляется должностным лицом уполномоченного органа как в устной форме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мероприятия, так и в письменной форме. Консультирование в устной и письменной формах осуществляется по следующим вопросам: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Компетенция уполномоченного органа.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Соблюдение обязательных требований.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Проведение контрольных (надзорных) мероприятий.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Применение мер ответственности.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Срок проведения – постоянно.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4.2.4.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контроля, исходя из их отнесения к соответствующей категории риска.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Срок проведения – ежеквартально.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ConsPlusNormal"/>
        <w:ind w:firstLine="540"/>
        <w:jc w:val="center"/>
        <w:rPr>
          <w:b/>
          <w:b/>
          <w:color w:val="000000"/>
        </w:rPr>
      </w:pPr>
      <w:r>
        <w:rPr>
          <w:b/>
          <w:color w:val="000000"/>
          <w:sz w:val="26"/>
          <w:szCs w:val="26"/>
        </w:rPr>
        <w:t>5. Ресурсное обеспечение Программы</w:t>
      </w:r>
    </w:p>
    <w:p>
      <w:pPr>
        <w:pStyle w:val="ConsPlusNormal"/>
        <w:ind w:firstLine="540"/>
        <w:jc w:val="center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>Ресурсное обеспечение Программы включает в себя кадровое и информационно-аналитическое обеспечение ее реализации.</w:t>
      </w:r>
    </w:p>
    <w:p>
      <w:pPr>
        <w:pStyle w:val="ConsPlusNormal"/>
        <w:ind w:firstLine="540"/>
        <w:jc w:val="both"/>
        <w:rPr>
          <w:color w:val="000000"/>
        </w:rPr>
      </w:pPr>
      <w:r>
        <w:rPr>
          <w:color w:val="000000"/>
        </w:rPr>
      </w:r>
    </w:p>
    <w:p>
      <w:pPr>
        <w:pStyle w:val="ConsPlusNormal"/>
        <w:ind w:firstLine="540"/>
        <w:jc w:val="center"/>
        <w:rPr>
          <w:b/>
          <w:b/>
          <w:color w:val="000000"/>
        </w:rPr>
      </w:pPr>
      <w:r>
        <w:rPr>
          <w:b/>
          <w:color w:val="000000"/>
          <w:sz w:val="26"/>
          <w:szCs w:val="26"/>
        </w:rPr>
        <w:t>6. Механизм реализации программы</w:t>
      </w:r>
    </w:p>
    <w:p>
      <w:pPr>
        <w:pStyle w:val="ConsPlusNormal"/>
        <w:ind w:firstLine="540"/>
        <w:jc w:val="center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ConsPlusNormal"/>
        <w:ind w:firstLine="709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Для оценки мероприятий по профилактике нарушений требований и в целом Программы, с учетом достижения целей Программы устанавливаются следующие отчетные показатели: 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- количество выявленных нарушений; </w:t>
      </w:r>
    </w:p>
    <w:p>
      <w:pPr>
        <w:pStyle w:val="ConsPlusNormal"/>
        <w:ind w:firstLine="54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- количество направленных информационных писем и выданных предостережений о недопустимости нарушения требований; </w:t>
      </w:r>
    </w:p>
    <w:p>
      <w:pPr>
        <w:pStyle w:val="ConsPlusNormal"/>
        <w:ind w:firstLine="54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- количество субъектов, которым направлены информационные письма и выданы предостережения о недопустимости нарушения требований; 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 xml:space="preserve">- количество проверок, сведения о проведении которых внесены в Федеральную государственную информационную систему «Единый реестр проверок»; </w:t>
      </w:r>
    </w:p>
    <w:p>
      <w:pPr>
        <w:pStyle w:val="ConsPlusNormal"/>
        <w:ind w:firstLine="540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 </w:t>
      </w:r>
      <w:r>
        <w:rPr>
          <w:color w:val="000000"/>
          <w:sz w:val="26"/>
          <w:szCs w:val="26"/>
        </w:rPr>
        <w:t>- количество мероприятий по информированию подконтрольных субъектов по вопросам соблюдения требований.</w:t>
      </w:r>
    </w:p>
    <w:p>
      <w:pPr>
        <w:pStyle w:val="ConsPlusNormal"/>
        <w:ind w:firstLine="540"/>
        <w:jc w:val="center"/>
        <w:rPr>
          <w:b/>
          <w:b/>
        </w:rPr>
      </w:pPr>
      <w:r>
        <w:rPr>
          <w:b/>
        </w:rPr>
      </w:r>
    </w:p>
    <w:p>
      <w:pPr>
        <w:pStyle w:val="Normal"/>
        <w:bidi w:val="0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7. Показатели результативности и эффективности Программы </w:t>
      </w:r>
    </w:p>
    <w:p>
      <w:pPr>
        <w:pStyle w:val="Normal"/>
        <w:bidi w:val="0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К отчетным показателям Программы на 202</w:t>
      </w:r>
      <w:r>
        <w:rPr>
          <w:rFonts w:eastAsia="NSimSun" w:cs="Times New Roman" w:ascii="Times New Roman" w:hAnsi="Times New Roman"/>
          <w:color w:val="auto"/>
          <w:kern w:val="2"/>
          <w:sz w:val="26"/>
          <w:szCs w:val="26"/>
          <w:lang w:val="en-US" w:eastAsia="zh-CN" w:bidi="hi-IN"/>
        </w:rPr>
        <w:t>3</w:t>
      </w:r>
      <w:r>
        <w:rPr>
          <w:rFonts w:cs="Times New Roman" w:ascii="Times New Roman" w:hAnsi="Times New Roman"/>
          <w:sz w:val="26"/>
          <w:szCs w:val="26"/>
        </w:rPr>
        <w:t xml:space="preserve"> год относятся: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количество проведенных профилактических мероприятий по информированию подконтрольных лиц по вопросам соблюдения обязательных требований;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       количество выданных предостережений;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  количество проведенных профилактических мероприятий связанных с консультированием подконтрольных лиц;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    количество проведенных профилактических визитов подконтрольных лиц;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-  соотношение устраненных нарушений обязательных требований, выявленных в ходе осуществления муниципального контроля в сфере благоустройства, к общему количеству выявленных нарушений обязательных требований.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6"/>
          <w:szCs w:val="26"/>
        </w:rPr>
        <w:t>Информация о реализации Программы размещается на официальном сайте администрации Лазовского муниципального округа.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/>
          <w:b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next w:val="Normal"/>
    <w:qFormat/>
    <w:pPr>
      <w:keepNext w:val="true"/>
      <w:jc w:val="center"/>
      <w:outlineLvl w:val="0"/>
    </w:pPr>
    <w:rPr>
      <w:sz w:val="32"/>
      <w:lang w:val="en-US"/>
    </w:rPr>
  </w:style>
  <w:style w:type="paragraph" w:styleId="2">
    <w:name w:val="Heading 2"/>
    <w:basedOn w:val="Normal"/>
    <w:next w:val="Normal"/>
    <w:qFormat/>
    <w:pPr>
      <w:keepNext w:val="true"/>
      <w:jc w:val="center"/>
      <w:outlineLvl w:val="1"/>
    </w:pPr>
    <w:rPr>
      <w:b/>
      <w:sz w:val="28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Lucida Sans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" w:cs="Times New Roman"/>
      <w:b/>
      <w:bCs/>
      <w:color w:val="auto"/>
      <w:kern w:val="0"/>
      <w:sz w:val="24"/>
      <w:szCs w:val="24"/>
      <w:lang w:val="ru-RU" w:eastAsia="ar-SA" w:bidi="ar-SA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szCs w:val="24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2"/>
      <w:sz w:val="24"/>
      <w:szCs w:val="24"/>
      <w:lang w:val="ru-RU" w:eastAsia="ru-RU" w:bidi="hi-IN"/>
    </w:rPr>
  </w:style>
  <w:style w:type="paragraph" w:styleId="Style17">
    <w:name w:val="Нормальный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1142</TotalTime>
  <Application>LibreOffice/7.0.4.2$Windows_X86_64 LibreOffice_project/dcf040e67528d9187c66b2379df5ea4407429775</Application>
  <AppVersion>15.0000</AppVersion>
  <Pages>7</Pages>
  <Words>1481</Words>
  <Characters>12042</Characters>
  <CharactersWithSpaces>13757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2022-01-14T12:48:12Z</dcterms:created>
  <dc:creator/>
  <dc:description/>
  <dc:language>ru-RU</dc:language>
  <cp:lastModifiedBy/>
  <cp:lastPrinted>2022-01-14T16:12:15Z</cp:lastPrinted>
  <dcterms:modified xsi:type="dcterms:W3CDTF">2023-04-27T10:11:57Z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